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A48D" w14:textId="77777777" w:rsidR="00DA66E2" w:rsidRPr="00016E81" w:rsidRDefault="00DA66E2" w:rsidP="00DA66E2">
      <w:pPr>
        <w:widowControl w:val="0"/>
        <w:spacing w:after="0" w:line="240" w:lineRule="auto"/>
        <w:jc w:val="right"/>
        <w:rPr>
          <w:rFonts w:ascii="Times New Roman" w:eastAsia="Courier New" w:hAnsi="Times New Roman" w:cs="Times New Roman"/>
          <w:color w:val="000000"/>
          <w:lang w:eastAsia="ru-RU"/>
        </w:rPr>
      </w:pPr>
      <w:r w:rsidRPr="00016E81">
        <w:rPr>
          <w:rFonts w:ascii="Times New Roman" w:eastAsia="Courier New" w:hAnsi="Times New Roman" w:cs="Times New Roman"/>
          <w:color w:val="000000"/>
          <w:lang w:eastAsia="ru-RU"/>
        </w:rPr>
        <w:t>Додаток №5</w:t>
      </w:r>
    </w:p>
    <w:p w14:paraId="61C98AF0" w14:textId="77777777" w:rsidR="00DA66E2" w:rsidRPr="00016E81" w:rsidRDefault="00DA66E2" w:rsidP="00DA66E2">
      <w:pPr>
        <w:widowControl w:val="0"/>
        <w:spacing w:after="0" w:line="240" w:lineRule="auto"/>
        <w:jc w:val="right"/>
        <w:rPr>
          <w:rFonts w:ascii="Times New Roman" w:eastAsia="Courier New" w:hAnsi="Times New Roman" w:cs="Courier New"/>
          <w:color w:val="000000"/>
          <w:lang w:eastAsia="ru-RU"/>
        </w:rPr>
      </w:pPr>
      <w:r w:rsidRPr="00016E81">
        <w:rPr>
          <w:rFonts w:ascii="Times New Roman" w:eastAsia="Courier New" w:hAnsi="Times New Roman" w:cs="Courier New"/>
          <w:noProof/>
          <w:color w:val="000000"/>
          <w:lang w:eastAsia="ru-RU"/>
        </w:rPr>
        <w:t xml:space="preserve">до рішення </w:t>
      </w:r>
    </w:p>
    <w:p w14:paraId="0BE4119A" w14:textId="77777777" w:rsidR="00DA66E2" w:rsidRPr="00016E81" w:rsidRDefault="00DA66E2" w:rsidP="00DA66E2">
      <w:pPr>
        <w:widowControl w:val="0"/>
        <w:spacing w:after="0" w:line="240" w:lineRule="auto"/>
        <w:jc w:val="right"/>
        <w:rPr>
          <w:rFonts w:ascii="Times New Roman" w:eastAsia="Courier New" w:hAnsi="Times New Roman" w:cs="Courier New"/>
          <w:color w:val="000000"/>
          <w:lang w:eastAsia="ru-RU"/>
        </w:rPr>
      </w:pPr>
      <w:r w:rsidRPr="00016E81">
        <w:rPr>
          <w:rFonts w:ascii="Times New Roman" w:eastAsia="Courier New" w:hAnsi="Times New Roman" w:cs="Courier New"/>
          <w:color w:val="000000"/>
          <w:lang w:eastAsia="ru-RU"/>
        </w:rPr>
        <w:t>Бугринської сільської ради</w:t>
      </w:r>
    </w:p>
    <w:p w14:paraId="4783F073" w14:textId="77777777" w:rsidR="00DA66E2" w:rsidRPr="00016E81" w:rsidRDefault="00DA66E2" w:rsidP="00DA66E2">
      <w:pPr>
        <w:shd w:val="clear" w:color="auto" w:fill="FFFFFF"/>
        <w:suppressAutoHyphens/>
        <w:spacing w:after="0" w:line="240" w:lineRule="auto"/>
        <w:jc w:val="right"/>
        <w:rPr>
          <w:rFonts w:ascii="Times New Roman" w:eastAsia="Times New Roman" w:hAnsi="Times New Roman" w:cs="Times New Roman"/>
          <w:lang w:eastAsia="uk-UA"/>
        </w:rPr>
      </w:pPr>
      <w:r w:rsidRPr="00016E81">
        <w:rPr>
          <w:rFonts w:ascii="Times New Roman" w:eastAsia="Times New Roman" w:hAnsi="Times New Roman" w:cs="Times New Roman"/>
          <w:lang w:eastAsia="ar-SA"/>
        </w:rPr>
        <w:t xml:space="preserve">                                                                                                                      № </w:t>
      </w:r>
      <w:r>
        <w:rPr>
          <w:rFonts w:ascii="Times New Roman" w:eastAsia="Times New Roman" w:hAnsi="Times New Roman" w:cs="Times New Roman"/>
          <w:lang w:eastAsia="ar-SA"/>
        </w:rPr>
        <w:t>320</w:t>
      </w:r>
      <w:r w:rsidRPr="00016E81">
        <w:rPr>
          <w:rFonts w:ascii="Times New Roman" w:eastAsia="Times New Roman" w:hAnsi="Times New Roman" w:cs="Times New Roman"/>
          <w:lang w:eastAsia="ar-SA"/>
        </w:rPr>
        <w:t xml:space="preserve"> від </w:t>
      </w:r>
      <w:r>
        <w:rPr>
          <w:rFonts w:ascii="Times New Roman" w:eastAsia="Times New Roman" w:hAnsi="Times New Roman" w:cs="Times New Roman"/>
          <w:lang w:eastAsia="ar-SA"/>
        </w:rPr>
        <w:t>25</w:t>
      </w:r>
      <w:r w:rsidRPr="00016E81">
        <w:rPr>
          <w:rFonts w:ascii="Times New Roman" w:eastAsia="Times New Roman" w:hAnsi="Times New Roman" w:cs="Times New Roman"/>
          <w:lang w:eastAsia="ar-SA"/>
        </w:rPr>
        <w:t>.06.202</w:t>
      </w:r>
      <w:r>
        <w:rPr>
          <w:rFonts w:ascii="Times New Roman" w:eastAsia="Times New Roman" w:hAnsi="Times New Roman" w:cs="Times New Roman"/>
          <w:lang w:eastAsia="ar-SA"/>
        </w:rPr>
        <w:t xml:space="preserve">1 </w:t>
      </w:r>
      <w:r w:rsidRPr="00016E81">
        <w:rPr>
          <w:rFonts w:ascii="Times New Roman" w:eastAsia="Times New Roman" w:hAnsi="Times New Roman" w:cs="Times New Roman"/>
          <w:lang w:eastAsia="ar-SA"/>
        </w:rPr>
        <w:t>р.</w:t>
      </w:r>
    </w:p>
    <w:p w14:paraId="2BAC4BC3" w14:textId="77777777" w:rsidR="00DA66E2" w:rsidRPr="00016E81" w:rsidRDefault="00DA66E2" w:rsidP="00DA66E2">
      <w:pPr>
        <w:widowControl w:val="0"/>
        <w:spacing w:after="0" w:line="240" w:lineRule="auto"/>
        <w:jc w:val="right"/>
        <w:rPr>
          <w:rFonts w:ascii="Times New Roman" w:eastAsia="Courier New" w:hAnsi="Times New Roman" w:cs="Times New Roman"/>
          <w:color w:val="000000"/>
          <w:lang w:eastAsia="ru-RU"/>
        </w:rPr>
      </w:pPr>
      <w:r w:rsidRPr="00016E81">
        <w:rPr>
          <w:rFonts w:ascii="Times New Roman" w:eastAsia="Courier New" w:hAnsi="Times New Roman" w:cs="Times New Roman"/>
          <w:color w:val="000000"/>
          <w:lang w:eastAsia="ru-RU"/>
        </w:rPr>
        <w:t>.</w:t>
      </w:r>
    </w:p>
    <w:p w14:paraId="0BE34578" w14:textId="77777777" w:rsidR="00DA66E2" w:rsidRPr="00016E81" w:rsidRDefault="00DA66E2" w:rsidP="00DA66E2">
      <w:pPr>
        <w:shd w:val="clear" w:color="auto" w:fill="FFFFFF"/>
        <w:suppressAutoHyphens/>
        <w:spacing w:after="150" w:line="240" w:lineRule="auto"/>
        <w:contextualSpacing/>
        <w:jc w:val="center"/>
        <w:rPr>
          <w:rFonts w:ascii="Times New Roman" w:eastAsia="Times New Roman" w:hAnsi="Times New Roman" w:cs="Times New Roman"/>
          <w:color w:val="333333"/>
          <w:sz w:val="24"/>
          <w:szCs w:val="24"/>
          <w:lang w:eastAsia="ar-SA"/>
        </w:rPr>
      </w:pPr>
      <w:r w:rsidRPr="00016E81">
        <w:rPr>
          <w:rFonts w:ascii="Times New Roman" w:eastAsia="Times New Roman" w:hAnsi="Times New Roman" w:cs="Times New Roman"/>
          <w:b/>
          <w:bCs/>
          <w:color w:val="333333"/>
          <w:sz w:val="24"/>
          <w:szCs w:val="24"/>
          <w:lang w:eastAsia="ar-SA"/>
        </w:rPr>
        <w:t>ПОЛОЖЕННЯ</w:t>
      </w:r>
    </w:p>
    <w:p w14:paraId="28ECC6F7" w14:textId="77777777" w:rsidR="00DA66E2" w:rsidRPr="00016E81" w:rsidRDefault="00DA66E2" w:rsidP="00DA66E2">
      <w:pPr>
        <w:shd w:val="clear" w:color="auto" w:fill="FFFFFF"/>
        <w:suppressAutoHyphens/>
        <w:spacing w:after="150" w:line="240" w:lineRule="auto"/>
        <w:contextualSpacing/>
        <w:jc w:val="center"/>
        <w:rPr>
          <w:rFonts w:ascii="Times New Roman" w:eastAsia="Times New Roman" w:hAnsi="Times New Roman" w:cs="Times New Roman"/>
          <w:color w:val="333333"/>
          <w:sz w:val="24"/>
          <w:szCs w:val="24"/>
          <w:lang w:eastAsia="ar-SA"/>
        </w:rPr>
      </w:pPr>
      <w:r w:rsidRPr="00016E81">
        <w:rPr>
          <w:rFonts w:ascii="Times New Roman" w:eastAsia="Times New Roman" w:hAnsi="Times New Roman" w:cs="Times New Roman"/>
          <w:b/>
          <w:bCs/>
          <w:color w:val="333333"/>
          <w:sz w:val="24"/>
          <w:szCs w:val="24"/>
          <w:lang w:eastAsia="ar-SA"/>
        </w:rPr>
        <w:t>про встановлення ставок акцизного податку з реалізації суб’єктами господарювання роздрібної торгівлі</w:t>
      </w:r>
      <w:r w:rsidRPr="00016E81">
        <w:rPr>
          <w:rFonts w:ascii="Times New Roman" w:eastAsia="Times New Roman" w:hAnsi="Times New Roman" w:cs="Times New Roman"/>
          <w:b/>
          <w:bCs/>
          <w:color w:val="333333"/>
          <w:sz w:val="24"/>
          <w:szCs w:val="24"/>
          <w:lang w:val="ru-RU" w:eastAsia="ar-SA"/>
        </w:rPr>
        <w:t> </w:t>
      </w:r>
      <w:r w:rsidRPr="00016E81">
        <w:rPr>
          <w:rFonts w:ascii="Times New Roman" w:eastAsia="Times New Roman" w:hAnsi="Times New Roman" w:cs="Times New Roman"/>
          <w:b/>
          <w:bCs/>
          <w:color w:val="333333"/>
          <w:sz w:val="24"/>
          <w:szCs w:val="24"/>
          <w:lang w:eastAsia="ar-SA"/>
        </w:rPr>
        <w:t xml:space="preserve"> підакцизних товарів</w:t>
      </w:r>
      <w:r w:rsidRPr="00016E81">
        <w:rPr>
          <w:rFonts w:ascii="Times New Roman" w:eastAsia="Times New Roman" w:hAnsi="Times New Roman" w:cs="Times New Roman"/>
          <w:b/>
          <w:bCs/>
          <w:color w:val="333333"/>
          <w:sz w:val="24"/>
          <w:szCs w:val="24"/>
          <w:lang w:val="ru-RU" w:eastAsia="ar-SA"/>
        </w:rPr>
        <w:t>  </w:t>
      </w:r>
      <w:r w:rsidRPr="00016E81">
        <w:rPr>
          <w:rFonts w:ascii="Times New Roman" w:eastAsia="Times New Roman" w:hAnsi="Times New Roman" w:cs="Times New Roman"/>
          <w:b/>
          <w:bCs/>
          <w:color w:val="333333"/>
          <w:sz w:val="24"/>
          <w:szCs w:val="24"/>
          <w:lang w:eastAsia="ar-SA"/>
        </w:rPr>
        <w:t xml:space="preserve"> на</w:t>
      </w:r>
      <w:r w:rsidRPr="00016E81">
        <w:rPr>
          <w:rFonts w:ascii="Times New Roman" w:eastAsia="Times New Roman" w:hAnsi="Times New Roman" w:cs="Times New Roman"/>
          <w:b/>
          <w:bCs/>
          <w:color w:val="333333"/>
          <w:sz w:val="24"/>
          <w:szCs w:val="24"/>
          <w:lang w:val="ru-RU" w:eastAsia="ar-SA"/>
        </w:rPr>
        <w:t> </w:t>
      </w:r>
      <w:r w:rsidRPr="00016E81">
        <w:rPr>
          <w:rFonts w:ascii="Times New Roman" w:eastAsia="Times New Roman" w:hAnsi="Times New Roman" w:cs="Times New Roman"/>
          <w:b/>
          <w:bCs/>
          <w:color w:val="333333"/>
          <w:sz w:val="24"/>
          <w:szCs w:val="24"/>
          <w:lang w:eastAsia="ar-SA"/>
        </w:rPr>
        <w:t xml:space="preserve"> території</w:t>
      </w:r>
      <w:r w:rsidRPr="00016E81">
        <w:rPr>
          <w:rFonts w:ascii="Times New Roman" w:eastAsia="Times New Roman" w:hAnsi="Times New Roman" w:cs="Times New Roman"/>
          <w:b/>
          <w:bCs/>
          <w:color w:val="333333"/>
          <w:sz w:val="24"/>
          <w:szCs w:val="24"/>
          <w:lang w:val="ru-RU" w:eastAsia="ar-SA"/>
        </w:rPr>
        <w:t> </w:t>
      </w:r>
      <w:r w:rsidRPr="00016E81">
        <w:rPr>
          <w:rFonts w:ascii="Times New Roman" w:eastAsia="Times New Roman" w:hAnsi="Times New Roman" w:cs="Times New Roman"/>
          <w:b/>
          <w:bCs/>
          <w:color w:val="333333"/>
          <w:sz w:val="24"/>
          <w:szCs w:val="24"/>
          <w:lang w:eastAsia="ar-SA"/>
        </w:rPr>
        <w:t xml:space="preserve"> Бугринської сільської</w:t>
      </w:r>
      <w:r w:rsidRPr="00016E81">
        <w:rPr>
          <w:rFonts w:ascii="Times New Roman" w:eastAsia="Times New Roman" w:hAnsi="Times New Roman" w:cs="Times New Roman"/>
          <w:b/>
          <w:bCs/>
          <w:color w:val="333333"/>
          <w:sz w:val="24"/>
          <w:szCs w:val="24"/>
          <w:lang w:val="ru-RU" w:eastAsia="ar-SA"/>
        </w:rPr>
        <w:t> </w:t>
      </w:r>
      <w:r w:rsidRPr="00016E81">
        <w:rPr>
          <w:rFonts w:ascii="Times New Roman" w:eastAsia="Times New Roman" w:hAnsi="Times New Roman" w:cs="Times New Roman"/>
          <w:b/>
          <w:bCs/>
          <w:color w:val="333333"/>
          <w:sz w:val="24"/>
          <w:szCs w:val="24"/>
          <w:lang w:eastAsia="ar-SA"/>
        </w:rPr>
        <w:t xml:space="preserve"> ради</w:t>
      </w:r>
    </w:p>
    <w:p w14:paraId="1E99B851" w14:textId="77777777" w:rsidR="00DA66E2" w:rsidRPr="00016E81" w:rsidRDefault="00DA66E2" w:rsidP="00DA66E2">
      <w:pPr>
        <w:shd w:val="clear" w:color="auto" w:fill="FFFFFF"/>
        <w:suppressAutoHyphens/>
        <w:spacing w:after="150" w:line="240" w:lineRule="auto"/>
        <w:contextualSpacing/>
        <w:jc w:val="center"/>
        <w:rPr>
          <w:rFonts w:ascii="Times New Roman" w:eastAsia="Times New Roman" w:hAnsi="Times New Roman" w:cs="Times New Roman"/>
          <w:color w:val="333333"/>
          <w:sz w:val="24"/>
          <w:szCs w:val="24"/>
          <w:lang w:eastAsia="ar-SA"/>
        </w:rPr>
      </w:pPr>
    </w:p>
    <w:p w14:paraId="0A40B2F4" w14:textId="77777777" w:rsidR="00DA66E2" w:rsidRPr="00016E81" w:rsidRDefault="00DA66E2" w:rsidP="00DA66E2">
      <w:pPr>
        <w:numPr>
          <w:ilvl w:val="0"/>
          <w:numId w:val="1"/>
        </w:numPr>
        <w:shd w:val="clear" w:color="auto" w:fill="FFFFFF"/>
        <w:suppressAutoHyphens/>
        <w:spacing w:before="100" w:beforeAutospacing="1" w:after="100" w:afterAutospacing="1" w:line="240" w:lineRule="auto"/>
        <w:contextualSpacing/>
        <w:jc w:val="center"/>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u w:val="single"/>
          <w:lang w:val="ru-RU" w:eastAsia="ar-SA"/>
        </w:rPr>
        <w:t>ЗАГАЛЬНІ ЗАСАДИ</w:t>
      </w:r>
    </w:p>
    <w:p w14:paraId="6F1DDE9B"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67F1C157"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xml:space="preserve">         Акцизний податок з реалізації суб’єктами господарювання роздрібної торгівлі підакцизних товарів    </w:t>
      </w:r>
      <w:proofErr w:type="gramStart"/>
      <w:r w:rsidRPr="00016E81">
        <w:rPr>
          <w:rFonts w:ascii="Times New Roman" w:eastAsia="Times New Roman" w:hAnsi="Times New Roman" w:cs="Times New Roman"/>
          <w:sz w:val="24"/>
          <w:szCs w:val="24"/>
          <w:lang w:val="ru-RU" w:eastAsia="ar-SA"/>
        </w:rPr>
        <w:t>на  території</w:t>
      </w:r>
      <w:proofErr w:type="gramEnd"/>
      <w:r w:rsidRPr="00016E81">
        <w:rPr>
          <w:rFonts w:ascii="Times New Roman" w:eastAsia="Times New Roman" w:hAnsi="Times New Roman" w:cs="Times New Roman"/>
          <w:sz w:val="24"/>
          <w:szCs w:val="24"/>
          <w:lang w:val="ru-RU" w:eastAsia="ar-SA"/>
        </w:rPr>
        <w:t xml:space="preserve"> ,   підвідомчій    Бугринській   сільській  раді розроблено на підставі Податкового Кодексу України (розділ VI) та Закону України "Про місцеве самоврядування в Україні".</w:t>
      </w:r>
    </w:p>
    <w:p w14:paraId="40930923"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63D25815" w14:textId="77777777" w:rsidR="00DA66E2" w:rsidRPr="00016E81" w:rsidRDefault="00DA66E2" w:rsidP="00DA66E2">
      <w:pPr>
        <w:numPr>
          <w:ilvl w:val="0"/>
          <w:numId w:val="2"/>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proofErr w:type="gramStart"/>
      <w:r w:rsidRPr="00016E81">
        <w:rPr>
          <w:rFonts w:ascii="Times New Roman" w:eastAsia="Times New Roman" w:hAnsi="Times New Roman" w:cs="Times New Roman"/>
          <w:sz w:val="24"/>
          <w:szCs w:val="24"/>
          <w:u w:val="single"/>
          <w:lang w:val="ru-RU" w:eastAsia="ar-SA"/>
        </w:rPr>
        <w:t>ПЛАТНИКИ  ПОДАТКУ</w:t>
      </w:r>
      <w:proofErr w:type="gramEnd"/>
    </w:p>
    <w:p w14:paraId="178A0BB4" w14:textId="77777777" w:rsidR="00DA66E2" w:rsidRPr="00016E81" w:rsidRDefault="00DA66E2" w:rsidP="00DA66E2">
      <w:pPr>
        <w:shd w:val="clear" w:color="auto" w:fill="FFFFFF"/>
        <w:suppressAutoHyphens/>
        <w:spacing w:after="150" w:line="240" w:lineRule="auto"/>
        <w:ind w:left="360"/>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25EFA559"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2.1. Особа - суб’єкт господарювання роздрібної торгівлі, яка здійснює реалізацію підакцизних товарів.</w:t>
      </w:r>
    </w:p>
    <w:p w14:paraId="75A72092"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2.2. Особи - суб’єкти господарювання роздрібної торгівлі, які здійснюють реалізацію підакцизних товарів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місяць, в якому здійснюється господарська діяльність.</w:t>
      </w:r>
    </w:p>
    <w:p w14:paraId="279967B1"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432BC572" w14:textId="77777777" w:rsidR="00DA66E2" w:rsidRPr="00016E81" w:rsidRDefault="00DA66E2" w:rsidP="00DA66E2">
      <w:pPr>
        <w:numPr>
          <w:ilvl w:val="0"/>
          <w:numId w:val="3"/>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u w:val="single"/>
          <w:lang w:val="ru-RU" w:eastAsia="ar-SA"/>
        </w:rPr>
        <w:t>ОБ’ЄКТ ОПОДАТКУВАННЯ</w:t>
      </w:r>
    </w:p>
    <w:p w14:paraId="01427F95" w14:textId="77777777" w:rsidR="00DA66E2" w:rsidRPr="00016E81" w:rsidRDefault="00DA66E2" w:rsidP="00DA66E2">
      <w:pPr>
        <w:shd w:val="clear" w:color="auto" w:fill="FFFFFF"/>
        <w:suppressAutoHyphens/>
        <w:spacing w:after="150" w:line="240" w:lineRule="auto"/>
        <w:ind w:left="360"/>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6F253072"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3.</w:t>
      </w:r>
      <w:proofErr w:type="gramStart"/>
      <w:r w:rsidRPr="00016E81">
        <w:rPr>
          <w:rFonts w:ascii="Times New Roman" w:eastAsia="Times New Roman" w:hAnsi="Times New Roman" w:cs="Times New Roman"/>
          <w:sz w:val="24"/>
          <w:szCs w:val="24"/>
          <w:lang w:val="ru-RU" w:eastAsia="ar-SA"/>
        </w:rPr>
        <w:t>1.Об’єктами</w:t>
      </w:r>
      <w:proofErr w:type="gramEnd"/>
      <w:r w:rsidRPr="00016E81">
        <w:rPr>
          <w:rFonts w:ascii="Times New Roman" w:eastAsia="Times New Roman" w:hAnsi="Times New Roman" w:cs="Times New Roman"/>
          <w:sz w:val="24"/>
          <w:szCs w:val="24"/>
          <w:lang w:val="ru-RU" w:eastAsia="ar-SA"/>
        </w:rPr>
        <w:t xml:space="preserve"> оподаткування є операції з реалізації суб’єктами господарювання роздрібної торгівлі  підакцизних товарів.</w:t>
      </w:r>
    </w:p>
    <w:p w14:paraId="00C083E6"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7490BE95" w14:textId="77777777" w:rsidR="00DA66E2" w:rsidRPr="00016E81" w:rsidRDefault="00DA66E2" w:rsidP="00DA66E2">
      <w:pPr>
        <w:numPr>
          <w:ilvl w:val="0"/>
          <w:numId w:val="4"/>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u w:val="single"/>
          <w:lang w:val="ru-RU" w:eastAsia="ar-SA"/>
        </w:rPr>
        <w:t>БАЗА ОПОДАТКУВАННЯ</w:t>
      </w:r>
    </w:p>
    <w:p w14:paraId="6FEC4487" w14:textId="77777777" w:rsidR="00DA66E2" w:rsidRPr="00016E81" w:rsidRDefault="00DA66E2" w:rsidP="00DA66E2">
      <w:pPr>
        <w:shd w:val="clear" w:color="auto" w:fill="FFFFFF"/>
        <w:suppressAutoHyphens/>
        <w:spacing w:after="150" w:line="240" w:lineRule="auto"/>
        <w:ind w:left="360"/>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560DD1B9"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4.1. У разі обчислення податку із застосуванням адвалорних (відсоткових) ставок базою оподаткування є вартість (з податком на додану вартість) підакцизних товарів, що реалізовані суб’єктами господарювання роздрібної торгівлі.</w:t>
      </w:r>
    </w:p>
    <w:p w14:paraId="6B338896"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330BCF4A" w14:textId="77777777" w:rsidR="00DA66E2" w:rsidRPr="00016E81" w:rsidRDefault="00DA66E2" w:rsidP="00DA66E2">
      <w:pPr>
        <w:numPr>
          <w:ilvl w:val="0"/>
          <w:numId w:val="5"/>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u w:val="single"/>
          <w:lang w:val="ru-RU" w:eastAsia="ar-SA"/>
        </w:rPr>
        <w:t>ПІДАКЦИЗНІ ТОВАРИ ТА СТАВКИ ПОДАТКУ</w:t>
      </w:r>
    </w:p>
    <w:p w14:paraId="671C19D4" w14:textId="77777777" w:rsidR="00DA66E2" w:rsidRPr="00016E81" w:rsidRDefault="00DA66E2" w:rsidP="00DA66E2">
      <w:pPr>
        <w:shd w:val="clear" w:color="auto" w:fill="FFFFFF"/>
        <w:suppressAutoHyphens/>
        <w:spacing w:after="150" w:line="240" w:lineRule="auto"/>
        <w:ind w:left="360"/>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3C17D2F3"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5.1. До підакцизних товарів належать:</w:t>
      </w:r>
    </w:p>
    <w:p w14:paraId="7904948F"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  алкогольні напої, пиво;</w:t>
      </w:r>
    </w:p>
    <w:p w14:paraId="3FC41B73"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  тютюнові вироби, тютюн та промислові замінники тютюну;</w:t>
      </w:r>
    </w:p>
    <w:p w14:paraId="615DDB06"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 нафтопродукти, скраплений газ, речовини, що використовуються як компоненти моторних палив, паливо моторне альтернативне, біодизель.</w:t>
      </w:r>
    </w:p>
    <w:p w14:paraId="68A8639F"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1F02C0ED" w14:textId="77777777" w:rsidR="00DA66E2" w:rsidRPr="00016E81" w:rsidRDefault="00DA66E2" w:rsidP="00DA66E2">
      <w:pPr>
        <w:numPr>
          <w:ilvl w:val="0"/>
          <w:numId w:val="6"/>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Для підакцизних товарів роздрібної торгівлі, реалізованих відповідно до підпункту 213.1.9 пункту 213.1 статті 213 Податкового Кодексу України, ставка податку становить </w:t>
      </w:r>
      <w:r w:rsidRPr="00016E81">
        <w:rPr>
          <w:rFonts w:ascii="Times New Roman" w:eastAsia="Times New Roman" w:hAnsi="Times New Roman" w:cs="Times New Roman"/>
          <w:b/>
          <w:bCs/>
          <w:sz w:val="24"/>
          <w:szCs w:val="24"/>
          <w:lang w:val="ru-RU" w:eastAsia="ar-SA"/>
        </w:rPr>
        <w:t>5 відсотків </w:t>
      </w:r>
      <w:r w:rsidRPr="00016E81">
        <w:rPr>
          <w:rFonts w:ascii="Times New Roman" w:eastAsia="Times New Roman" w:hAnsi="Times New Roman" w:cs="Times New Roman"/>
          <w:sz w:val="24"/>
          <w:szCs w:val="24"/>
          <w:lang w:val="ru-RU" w:eastAsia="ar-SA"/>
        </w:rPr>
        <w:t xml:space="preserve">від </w:t>
      </w:r>
      <w:proofErr w:type="gramStart"/>
      <w:r w:rsidRPr="00016E81">
        <w:rPr>
          <w:rFonts w:ascii="Times New Roman" w:eastAsia="Times New Roman" w:hAnsi="Times New Roman" w:cs="Times New Roman"/>
          <w:sz w:val="24"/>
          <w:szCs w:val="24"/>
          <w:lang w:val="ru-RU" w:eastAsia="ar-SA"/>
        </w:rPr>
        <w:t>вартості(</w:t>
      </w:r>
      <w:proofErr w:type="gramEnd"/>
      <w:r w:rsidRPr="00016E81">
        <w:rPr>
          <w:rFonts w:ascii="Times New Roman" w:eastAsia="Times New Roman" w:hAnsi="Times New Roman" w:cs="Times New Roman"/>
          <w:sz w:val="24"/>
          <w:szCs w:val="24"/>
          <w:lang w:val="ru-RU" w:eastAsia="ar-SA"/>
        </w:rPr>
        <w:t>з податком на додану вартість).</w:t>
      </w:r>
    </w:p>
    <w:p w14:paraId="47B008BB" w14:textId="77777777" w:rsidR="00DA66E2" w:rsidRPr="00016E81" w:rsidRDefault="00DA66E2" w:rsidP="00DA66E2">
      <w:pPr>
        <w:shd w:val="clear" w:color="auto" w:fill="FFFFFF"/>
        <w:suppressAutoHyphens/>
        <w:spacing w:after="150" w:line="240" w:lineRule="auto"/>
        <w:ind w:left="645"/>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474BD675" w14:textId="77777777" w:rsidR="00DA66E2" w:rsidRPr="00016E81" w:rsidRDefault="00DA66E2" w:rsidP="00DA66E2">
      <w:pPr>
        <w:numPr>
          <w:ilvl w:val="0"/>
          <w:numId w:val="7"/>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u w:val="single"/>
          <w:lang w:val="ru-RU" w:eastAsia="ar-SA"/>
        </w:rPr>
        <w:t>ДАТА ВИНИКНЕННЯ ПОДАТКОВИХ ЗОБОВ’ЯЗАНЬ</w:t>
      </w:r>
    </w:p>
    <w:p w14:paraId="436F2F41" w14:textId="77777777" w:rsidR="00DA66E2" w:rsidRPr="00016E81" w:rsidRDefault="00DA66E2" w:rsidP="00DA66E2">
      <w:pPr>
        <w:shd w:val="clear" w:color="auto" w:fill="FFFFFF"/>
        <w:suppressAutoHyphens/>
        <w:spacing w:after="150" w:line="240" w:lineRule="auto"/>
        <w:ind w:left="360"/>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1B74A7E8"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xml:space="preserve">6.1. Датою виникнення податкових зобов'язань щодо реалізації суб’єктами господарювання роздрібної </w:t>
      </w:r>
      <w:proofErr w:type="gramStart"/>
      <w:r w:rsidRPr="00016E81">
        <w:rPr>
          <w:rFonts w:ascii="Times New Roman" w:eastAsia="Times New Roman" w:hAnsi="Times New Roman" w:cs="Times New Roman"/>
          <w:sz w:val="24"/>
          <w:szCs w:val="24"/>
          <w:lang w:val="ru-RU" w:eastAsia="ar-SA"/>
        </w:rPr>
        <w:t>торгівлі  підакцизних</w:t>
      </w:r>
      <w:proofErr w:type="gramEnd"/>
      <w:r w:rsidRPr="00016E81">
        <w:rPr>
          <w:rFonts w:ascii="Times New Roman" w:eastAsia="Times New Roman" w:hAnsi="Times New Roman" w:cs="Times New Roman"/>
          <w:sz w:val="24"/>
          <w:szCs w:val="24"/>
          <w:lang w:val="ru-RU" w:eastAsia="ar-SA"/>
        </w:rPr>
        <w:t xml:space="preserve"> товарів, є дата здійснення розрахункової операції, відповідно до Закону України «Про застосування реєстраторів розрахункових операцій в сфері торгівлі, </w:t>
      </w:r>
      <w:r w:rsidRPr="00016E81">
        <w:rPr>
          <w:rFonts w:ascii="Times New Roman" w:eastAsia="Times New Roman" w:hAnsi="Times New Roman" w:cs="Times New Roman"/>
          <w:sz w:val="24"/>
          <w:szCs w:val="24"/>
          <w:lang w:val="ru-RU" w:eastAsia="ar-SA"/>
        </w:rPr>
        <w:lastRenderedPageBreak/>
        <w:t>громадського харчування та послуг, а у разі реалізації товарів фізичними особами - підприємцями, які сплачують єдиний податок - є дата надходження оплати за проданий товар.</w:t>
      </w:r>
    </w:p>
    <w:p w14:paraId="655A3A35"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5177F5AB" w14:textId="77777777" w:rsidR="00DA66E2" w:rsidRPr="00016E81" w:rsidRDefault="00DA66E2" w:rsidP="00DA66E2">
      <w:pPr>
        <w:numPr>
          <w:ilvl w:val="0"/>
          <w:numId w:val="8"/>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u w:val="single"/>
          <w:lang w:val="ru-RU" w:eastAsia="ar-SA"/>
        </w:rPr>
        <w:t>ПОРЯДОК   І СТРОКИ СПЛАТИ ПОДАТКУ</w:t>
      </w:r>
    </w:p>
    <w:p w14:paraId="021888FA" w14:textId="77777777" w:rsidR="00DA66E2" w:rsidRPr="00016E81" w:rsidRDefault="00DA66E2" w:rsidP="00DA66E2">
      <w:pPr>
        <w:shd w:val="clear" w:color="auto" w:fill="FFFFFF"/>
        <w:suppressAutoHyphens/>
        <w:spacing w:after="150" w:line="240" w:lineRule="auto"/>
        <w:ind w:left="360"/>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024B88DC"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Сплата податку при реалізації суб’єктом господарювання роздрібної торгівлі підакцизних товарів.</w:t>
      </w:r>
    </w:p>
    <w:p w14:paraId="26CE0F95"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xml:space="preserve">7.1. Суми податку перераховуються </w:t>
      </w:r>
      <w:proofErr w:type="gramStart"/>
      <w:r w:rsidRPr="00016E81">
        <w:rPr>
          <w:rFonts w:ascii="Times New Roman" w:eastAsia="Times New Roman" w:hAnsi="Times New Roman" w:cs="Times New Roman"/>
          <w:sz w:val="24"/>
          <w:szCs w:val="24"/>
          <w:lang w:val="ru-RU" w:eastAsia="ar-SA"/>
        </w:rPr>
        <w:t>до бюджету</w:t>
      </w:r>
      <w:proofErr w:type="gramEnd"/>
      <w:r w:rsidRPr="00016E81">
        <w:rPr>
          <w:rFonts w:ascii="Times New Roman" w:eastAsia="Times New Roman" w:hAnsi="Times New Roman" w:cs="Times New Roman"/>
          <w:sz w:val="24"/>
          <w:szCs w:val="24"/>
          <w:lang w:val="ru-RU" w:eastAsia="ar-SA"/>
        </w:rPr>
        <w:t xml:space="preserve"> суб’єктом господарювання роздрібної торгівлі, який здійснює реалізацію підакцизних товарів протягом 10 календарних днів, що настають за останнім днем відповідного граничного строку, передбаченого цим додатком для подання податкової декларації за місячний податковий період.</w:t>
      </w:r>
    </w:p>
    <w:p w14:paraId="4A387F52"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7.2. Особа - суб’єкт господарювання роздрібної торгівлі, який здійснює реалізацію підакцизних товарів сплачує податок за місцем здійснення реалізації таких товарів.</w:t>
      </w:r>
    </w:p>
    <w:p w14:paraId="747947D3"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6BC55E17" w14:textId="77777777" w:rsidR="00DA66E2" w:rsidRPr="00016E81" w:rsidRDefault="00DA66E2" w:rsidP="00DA66E2">
      <w:pPr>
        <w:numPr>
          <w:ilvl w:val="0"/>
          <w:numId w:val="9"/>
        </w:numPr>
        <w:shd w:val="clear" w:color="auto" w:fill="FFFFFF"/>
        <w:suppressAutoHyphens/>
        <w:spacing w:before="100" w:beforeAutospacing="1" w:after="100" w:afterAutospacing="1"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u w:val="single"/>
          <w:lang w:val="ru-RU" w:eastAsia="ar-SA"/>
        </w:rPr>
        <w:t>СКЛАДЕННЯ ТА ПОДАННЯ ДЕКЛАРАЦІЇ З АКЦИЗНОГО ПОДАТКУ</w:t>
      </w:r>
    </w:p>
    <w:p w14:paraId="0DB77CB0"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533727CE"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8.1. Базовий податковий період для сплати податку відповідає календарному місяцю.</w:t>
      </w:r>
    </w:p>
    <w:p w14:paraId="05FEE8B3"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xml:space="preserve">8.2. Суб’єкт господарювання роздрібної торгівлі, який здійснює реалізацію підакцизних товарів подає щомісяця не пізніше 20 числа наступного періоду контролюючому органу за місцем реєстрації декларацію акцизного податку за формою, затвердженою </w:t>
      </w:r>
      <w:proofErr w:type="gramStart"/>
      <w:r w:rsidRPr="00016E81">
        <w:rPr>
          <w:rFonts w:ascii="Times New Roman" w:eastAsia="Times New Roman" w:hAnsi="Times New Roman" w:cs="Times New Roman"/>
          <w:sz w:val="24"/>
          <w:szCs w:val="24"/>
          <w:lang w:val="ru-RU" w:eastAsia="ar-SA"/>
        </w:rPr>
        <w:t>у порядку</w:t>
      </w:r>
      <w:proofErr w:type="gramEnd"/>
      <w:r w:rsidRPr="00016E81">
        <w:rPr>
          <w:rFonts w:ascii="Times New Roman" w:eastAsia="Times New Roman" w:hAnsi="Times New Roman" w:cs="Times New Roman"/>
          <w:sz w:val="24"/>
          <w:szCs w:val="24"/>
          <w:lang w:val="ru-RU" w:eastAsia="ar-SA"/>
        </w:rPr>
        <w:t>, встановленому статтею 46 Податкового кодексу України.</w:t>
      </w:r>
    </w:p>
    <w:p w14:paraId="1F31CCDB"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548CBF61"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r w:rsidRPr="00016E81">
        <w:rPr>
          <w:rFonts w:ascii="Times New Roman" w:eastAsia="Times New Roman" w:hAnsi="Times New Roman" w:cs="Times New Roman"/>
          <w:sz w:val="24"/>
          <w:szCs w:val="24"/>
          <w:lang w:val="ru-RU" w:eastAsia="ar-SA"/>
        </w:rPr>
        <w:t> </w:t>
      </w:r>
    </w:p>
    <w:p w14:paraId="3696D391" w14:textId="77777777" w:rsidR="00DA66E2" w:rsidRPr="00016E81" w:rsidRDefault="00DA66E2" w:rsidP="00DA66E2">
      <w:pPr>
        <w:shd w:val="clear" w:color="auto" w:fill="FFFFFF"/>
        <w:spacing w:before="100" w:beforeAutospacing="1" w:after="0" w:afterAutospacing="1" w:line="261" w:lineRule="atLeast"/>
        <w:ind w:left="23"/>
        <w:jc w:val="center"/>
        <w:rPr>
          <w:rFonts w:ascii="Times New Roman" w:eastAsia="Times New Roman" w:hAnsi="Times New Roman" w:cs="Times New Roman"/>
          <w:sz w:val="24"/>
          <w:szCs w:val="24"/>
          <w:lang w:val="ru-RU" w:eastAsia="ru-RU"/>
        </w:rPr>
      </w:pPr>
      <w:r w:rsidRPr="00016E81">
        <w:rPr>
          <w:rFonts w:ascii="Times New Roman" w:eastAsia="Times New Roman" w:hAnsi="Times New Roman" w:cs="Times New Roman"/>
          <w:sz w:val="24"/>
          <w:szCs w:val="24"/>
          <w:lang w:val="ru-RU" w:eastAsia="ru-RU"/>
        </w:rPr>
        <w:t xml:space="preserve">Секретар сільської ради                                              </w:t>
      </w:r>
      <w:r>
        <w:rPr>
          <w:rFonts w:ascii="Times New Roman" w:eastAsia="Times New Roman" w:hAnsi="Times New Roman" w:cs="Times New Roman"/>
          <w:color w:val="333333"/>
          <w:sz w:val="24"/>
          <w:szCs w:val="24"/>
          <w:lang w:val="ru-RU" w:eastAsia="uk-UA"/>
        </w:rPr>
        <w:t>Наталія ПРОКОПЧУК</w:t>
      </w:r>
      <w:r w:rsidRPr="00016E81">
        <w:rPr>
          <w:rFonts w:ascii="Times New Roman" w:eastAsia="Times New Roman" w:hAnsi="Times New Roman" w:cs="Times New Roman"/>
          <w:sz w:val="24"/>
          <w:szCs w:val="24"/>
          <w:lang w:val="ru-RU" w:eastAsia="ru-RU"/>
        </w:rPr>
        <w:t xml:space="preserve">         </w:t>
      </w:r>
    </w:p>
    <w:p w14:paraId="533F27A8"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4"/>
          <w:szCs w:val="24"/>
          <w:lang w:val="ru-RU" w:eastAsia="ar-SA"/>
        </w:rPr>
      </w:pPr>
    </w:p>
    <w:p w14:paraId="38E14AE6"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8"/>
          <w:szCs w:val="20"/>
          <w:lang w:val="ru-RU" w:eastAsia="ar-SA"/>
        </w:rPr>
      </w:pPr>
    </w:p>
    <w:p w14:paraId="36031E7D"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8"/>
          <w:szCs w:val="20"/>
          <w:lang w:val="ru-RU" w:eastAsia="ar-SA"/>
        </w:rPr>
      </w:pPr>
    </w:p>
    <w:p w14:paraId="30B57F72"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8"/>
          <w:szCs w:val="20"/>
          <w:lang w:val="ru-RU" w:eastAsia="ar-SA"/>
        </w:rPr>
      </w:pPr>
    </w:p>
    <w:p w14:paraId="3DE710AE" w14:textId="77777777" w:rsidR="00DA66E2" w:rsidRPr="00016E81" w:rsidRDefault="00DA66E2" w:rsidP="00DA66E2">
      <w:pPr>
        <w:shd w:val="clear" w:color="auto" w:fill="FFFFFF"/>
        <w:suppressAutoHyphens/>
        <w:spacing w:after="150" w:line="240" w:lineRule="auto"/>
        <w:contextualSpacing/>
        <w:jc w:val="both"/>
        <w:rPr>
          <w:rFonts w:ascii="Times New Roman" w:eastAsia="Times New Roman" w:hAnsi="Times New Roman" w:cs="Times New Roman"/>
          <w:sz w:val="28"/>
          <w:szCs w:val="20"/>
          <w:lang w:val="ru-RU" w:eastAsia="ar-SA"/>
        </w:rPr>
      </w:pPr>
    </w:p>
    <w:p w14:paraId="33DFAD15" w14:textId="77777777" w:rsidR="003C2ECE" w:rsidRDefault="003C2ECE"/>
    <w:sectPr w:rsidR="003C2E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37F6"/>
    <w:multiLevelType w:val="multilevel"/>
    <w:tmpl w:val="492EC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27354E"/>
    <w:multiLevelType w:val="multilevel"/>
    <w:tmpl w:val="6FEC0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987549"/>
    <w:multiLevelType w:val="multilevel"/>
    <w:tmpl w:val="AA16A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476DF6"/>
    <w:multiLevelType w:val="multilevel"/>
    <w:tmpl w:val="8E68C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61461D"/>
    <w:multiLevelType w:val="multilevel"/>
    <w:tmpl w:val="24984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D523FA"/>
    <w:multiLevelType w:val="multilevel"/>
    <w:tmpl w:val="8BDE6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7235FB"/>
    <w:multiLevelType w:val="multilevel"/>
    <w:tmpl w:val="2118E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921D4D"/>
    <w:multiLevelType w:val="multilevel"/>
    <w:tmpl w:val="79A08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D4174D2"/>
    <w:multiLevelType w:val="multilevel"/>
    <w:tmpl w:val="C25CB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95"/>
    <w:rsid w:val="003C2ECE"/>
    <w:rsid w:val="00DA66E2"/>
    <w:rsid w:val="00FF3F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D3061-4275-4D0B-B0CC-C47E94E4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6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2393</Words>
  <Characters>1365</Characters>
  <Application>Microsoft Office Word</Application>
  <DocSecurity>0</DocSecurity>
  <Lines>11</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Botg972_User02</dc:creator>
  <cp:keywords/>
  <dc:description/>
  <cp:lastModifiedBy>Botg972_User02</cp:lastModifiedBy>
  <cp:revision>2</cp:revision>
  <dcterms:created xsi:type="dcterms:W3CDTF">2021-11-03T12:22:00Z</dcterms:created>
  <dcterms:modified xsi:type="dcterms:W3CDTF">2021-11-03T12:22:00Z</dcterms:modified>
</cp:coreProperties>
</file>